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10206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Пр</w:t>
      </w:r>
    </w:p>
    <w:p>
      <w:pPr>
        <w:spacing w:after="0" w:line="360" w:lineRule="auto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1 </w:t>
      </w:r>
    </w:p>
    <w:p>
      <w:pPr>
        <w:spacing w:after="0" w:line="240" w:lineRule="auto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Порядку оценки налоговых расходов муниципального образования Тазовский район</w:t>
      </w: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bCs/>
          <w:sz w:val="28"/>
          <w:szCs w:val="28"/>
          <w:lang w:eastAsia="ru-RU"/>
        </w:rPr>
        <w:t>ПЕРЕЧЕНЬ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bCs/>
          <w:sz w:val="28"/>
          <w:szCs w:val="28"/>
          <w:lang w:eastAsia="ru-RU"/>
        </w:rPr>
        <w:t xml:space="preserve">показателей для проведения оценки налоговых расходов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bCs/>
          <w:sz w:val="28"/>
          <w:szCs w:val="28"/>
          <w:lang w:eastAsia="ru-RU"/>
        </w:rPr>
        <w:t>муниципального образования Тазовский район</w:t>
      </w: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3408"/>
      </w:tblGrid>
      <w:tr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N п/п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Информация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Источник данных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3408"/>
      </w:tblGrid>
      <w:tr>
        <w:trPr>
          <w:trHeight w:val="28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3</w:t>
            </w:r>
          </w:p>
        </w:tc>
      </w:tr>
      <w:tr>
        <w:trPr>
          <w:jc w:val="center"/>
        </w:trPr>
        <w:tc>
          <w:tcPr>
            <w:tcW w:w="913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PT Astra Serif"/>
                <w:b/>
                <w:lang w:eastAsia="ru-RU"/>
              </w:rPr>
            </w:pPr>
            <w:r>
              <w:rPr>
                <w:rFonts w:ascii="PT Astra Serif" w:hAnsi="PT Astra Serif" w:cs="PT Astra Serif"/>
                <w:b/>
                <w:lang w:eastAsia="ru-RU"/>
              </w:rPr>
              <w:t>I. Нормативные характеристики налоговых расходов муниципального образования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Нормативные правовые акты муниципального образования, которыми предусматриваются налоговые льготы, освобождения и иные преференции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2.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3.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4.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5.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Даты начала действия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6.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lastRenderedPageBreak/>
              <w:t>7.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913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PT Astra Serif"/>
                <w:b/>
                <w:lang w:eastAsia="ru-RU"/>
              </w:rPr>
            </w:pPr>
            <w:r>
              <w:rPr>
                <w:rFonts w:ascii="PT Astra Serif" w:hAnsi="PT Astra Serif" w:cs="PT Astra Serif"/>
                <w:b/>
                <w:lang w:eastAsia="ru-RU"/>
              </w:rPr>
              <w:t>II. Целевые характеристики налоговых расходов муниципального образования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8.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9.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10.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tabs>
                <w:tab w:val="left" w:pos="531"/>
                <w:tab w:val="left" w:pos="6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11.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tabs>
                <w:tab w:val="left" w:pos="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</w:p>
          <w:p>
            <w:pPr>
              <w:tabs>
                <w:tab w:val="left" w:pos="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</w:p>
          <w:p>
            <w:pPr>
              <w:tabs>
                <w:tab w:val="left" w:pos="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12.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Департамент финансов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 xml:space="preserve">13. 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Наименование муниципальной программы, (наименование муниципального правового акта, определяющего цели социально-экономической политики муниципального образования, не относящиеся к муниципальным программам, в целях реализации которых предоставляется налоговый расход)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 xml:space="preserve">14. 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 xml:space="preserve">Наименование подпрограммы, мероприятия подпрограммы муниципальной программы, в рамках которых предоставляется налоговый расход 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15.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Показатель (индикатор) достижения целей муниципальных программ муниципального образования и (или) целей социально-экономической политики муниципального образования,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3408" w:type="dxa"/>
            <w:vAlign w:val="center"/>
          </w:tcPr>
          <w:p>
            <w:pPr>
              <w:tabs>
                <w:tab w:val="left" w:pos="0"/>
                <w:tab w:val="left" w:pos="5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  <w:tr>
        <w:trPr>
          <w:jc w:val="center"/>
        </w:trPr>
        <w:tc>
          <w:tcPr>
            <w:tcW w:w="913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PT Astra Serif"/>
                <w:b/>
                <w:lang w:eastAsia="ru-RU"/>
              </w:rPr>
            </w:pPr>
            <w:r>
              <w:rPr>
                <w:rFonts w:ascii="PT Astra Serif" w:hAnsi="PT Astra Serif" w:cs="PT Astra Serif"/>
                <w:b/>
                <w:lang w:eastAsia="ru-RU"/>
              </w:rPr>
              <w:t>I</w:t>
            </w:r>
            <w:r>
              <w:rPr>
                <w:rFonts w:ascii="PT Astra Serif" w:hAnsi="PT Astra Serif" w:cs="PT Astra Serif"/>
                <w:b/>
                <w:lang w:val="en-US" w:eastAsia="ru-RU"/>
              </w:rPr>
              <w:t>II</w:t>
            </w:r>
            <w:r>
              <w:rPr>
                <w:rFonts w:ascii="PT Astra Serif" w:hAnsi="PT Astra Serif" w:cs="PT Astra Serif"/>
                <w:b/>
                <w:lang w:eastAsia="ru-RU"/>
              </w:rPr>
              <w:t>. Фискальные характеристики налогового расхода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PT Astra Serif"/>
                <w:b/>
                <w:lang w:eastAsia="ru-RU"/>
              </w:rPr>
            </w:pPr>
            <w:r>
              <w:rPr>
                <w:rFonts w:ascii="PT Astra Serif" w:hAnsi="PT Astra Serif" w:cs="PT Astra Serif"/>
                <w:b/>
                <w:lang w:eastAsia="ru-RU"/>
              </w:rPr>
              <w:t xml:space="preserve"> муниципального образования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16.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</w:t>
            </w:r>
            <w:r>
              <w:rPr>
                <w:rFonts w:ascii="PT Astra Serif" w:hAnsi="PT Astra Serif" w:cs="PT Astra Serif"/>
                <w:lang w:eastAsia="ru-RU"/>
              </w:rPr>
              <w:lastRenderedPageBreak/>
              <w:t>год и за год, предшествующий отчетному году (тыс. рублей)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lastRenderedPageBreak/>
              <w:t>Куратор налогового расхода на основании информации УФНС России по ЯНАО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lastRenderedPageBreak/>
              <w:t>17.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</w:t>
            </w:r>
            <w:bookmarkStart w:id="0" w:name="_GoBack"/>
            <w:bookmarkEnd w:id="0"/>
            <w:r>
              <w:rPr>
                <w:rFonts w:ascii="PT Astra Serif" w:hAnsi="PT Astra Serif" w:cs="PT Astra Serif"/>
                <w:lang w:eastAsia="ru-RU"/>
              </w:rPr>
              <w:t>финансовый год, очередной финансовый год и плановый период (тыс. рублей)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18.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 на основании информации УФНС России по ЯНАО</w:t>
            </w:r>
          </w:p>
        </w:tc>
      </w:tr>
      <w:tr>
        <w:trPr>
          <w:jc w:val="center"/>
        </w:trPr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19.</w:t>
            </w:r>
          </w:p>
        </w:tc>
        <w:tc>
          <w:tcPr>
            <w:tcW w:w="5159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Результат оценки эффективности налогового расхода</w:t>
            </w:r>
          </w:p>
        </w:tc>
        <w:tc>
          <w:tcPr>
            <w:tcW w:w="340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lang w:eastAsia="ru-RU"/>
              </w:rPr>
            </w:pPr>
            <w:r>
              <w:rPr>
                <w:rFonts w:ascii="PT Astra Serif" w:hAnsi="PT Astra Serif" w:cs="PT Astra Serif"/>
                <w:lang w:eastAsia="ru-RU"/>
              </w:rPr>
              <w:t>Куратор налогового расхода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>
      <w:pPr>
        <w:tabs>
          <w:tab w:val="left" w:pos="6237"/>
        </w:tabs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9373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6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F3C47"/>
    <w:multiLevelType w:val="hybridMultilevel"/>
    <w:tmpl w:val="09600BE6"/>
    <w:lvl w:ilvl="0" w:tplc="2DAC65AC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4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4E56DF2"/>
    <w:multiLevelType w:val="hybridMultilevel"/>
    <w:tmpl w:val="603EC69E"/>
    <w:lvl w:ilvl="0" w:tplc="4A506A82">
      <w:start w:val="1"/>
      <w:numFmt w:val="upperRoman"/>
      <w:lvlText w:val="%1."/>
      <w:lvlJc w:val="left"/>
      <w:pPr>
        <w:ind w:left="24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6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7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4"/>
  </w:num>
  <w:num w:numId="5">
    <w:abstractNumId w:val="16"/>
  </w:num>
  <w:num w:numId="6">
    <w:abstractNumId w:val="18"/>
  </w:num>
  <w:num w:numId="7">
    <w:abstractNumId w:val="17"/>
  </w:num>
  <w:num w:numId="8">
    <w:abstractNumId w:val="0"/>
  </w:num>
  <w:num w:numId="9">
    <w:abstractNumId w:val="1"/>
  </w:num>
  <w:num w:numId="10">
    <w:abstractNumId w:val="12"/>
  </w:num>
  <w:num w:numId="11">
    <w:abstractNumId w:val="3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0"/>
  </w:num>
  <w:num w:numId="17">
    <w:abstractNumId w:val="9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05964B-F7F2-4837-92BB-554635D5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styleId="a6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eastAsia="en-US"/>
    </w:rPr>
  </w:style>
  <w:style w:type="table" w:styleId="ab">
    <w:name w:val="Table Grid"/>
    <w:basedOn w:val="a1"/>
    <w:unhideWhenUsed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4C94-5590-4FCC-899C-CF8DD88D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Фадеева Алена Михайловна</cp:lastModifiedBy>
  <cp:revision>54</cp:revision>
  <cp:lastPrinted>2020-09-10T11:02:00Z</cp:lastPrinted>
  <dcterms:created xsi:type="dcterms:W3CDTF">2019-11-25T12:39:00Z</dcterms:created>
  <dcterms:modified xsi:type="dcterms:W3CDTF">2020-09-10T11:02:00Z</dcterms:modified>
</cp:coreProperties>
</file>